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54A0" w:rsidRDefault="00FD1D6B" w:rsidP="00FD1D6B">
      <w:pPr>
        <w:jc w:val="center"/>
      </w:pPr>
      <w:r>
        <w:rPr>
          <w:rFonts w:hint="eastAsia"/>
        </w:rPr>
        <w:t>研究问题与研究方向综述</w:t>
      </w:r>
    </w:p>
    <w:p w:rsidR="00087674" w:rsidRDefault="00087674" w:rsidP="00FD1D6B">
      <w:pPr>
        <w:jc w:val="center"/>
        <w:rPr>
          <w:rFonts w:hint="eastAsia"/>
        </w:rPr>
      </w:pPr>
      <w:r>
        <w:rPr>
          <w:rFonts w:hint="eastAsia"/>
        </w:rPr>
        <w:t>吕成达</w:t>
      </w:r>
    </w:p>
    <w:p w:rsidR="00BC764E" w:rsidRDefault="00FD1D6B" w:rsidP="00087674">
      <w:pPr>
        <w:ind w:firstLineChars="200" w:firstLine="420"/>
      </w:pPr>
      <w:r>
        <w:rPr>
          <w:rFonts w:hint="eastAsia"/>
        </w:rPr>
        <w:t>“经过土改运动，乡土中国的宗法文化力量逐渐退出历史舞台，贫苦农民获得了‘历史身份’</w:t>
      </w:r>
      <w:r>
        <w:t>”</w:t>
      </w:r>
      <w:r>
        <w:rPr>
          <w:rFonts w:hint="eastAsia"/>
        </w:rPr>
        <w:t>。而这一转变是国家行政权力对乡村入侵的结果，在中国乡村政治结构的变迁过程中，乡村社会遭到城市社会的入侵，乡村的主导力量由宗法文化转变为国家行政权力</w:t>
      </w:r>
      <w:r w:rsidR="00BC764E">
        <w:rPr>
          <w:rFonts w:hint="eastAsia"/>
        </w:rPr>
        <w:t>，同时也带来了乡村人际关系网络的变化。</w:t>
      </w:r>
    </w:p>
    <w:p w:rsidR="00FD1D6B" w:rsidRDefault="00BC764E" w:rsidP="00087674">
      <w:pPr>
        <w:ind w:firstLineChars="200" w:firstLine="420"/>
      </w:pPr>
      <w:r>
        <w:rPr>
          <w:rFonts w:hint="eastAsia"/>
        </w:rPr>
        <w:t>本研究拟从乡村人际关系网络的变化切入，围绕乡村政治权力中心的变化对乡村人际网络进行阐释。研究内容主要从四五十年代的土改小说入手，并辅以事实性的文献资料。从</w:t>
      </w:r>
      <w:r w:rsidR="00087674">
        <w:rPr>
          <w:rFonts w:hint="eastAsia"/>
        </w:rPr>
        <w:t>土改</w:t>
      </w:r>
      <w:r>
        <w:rPr>
          <w:rFonts w:hint="eastAsia"/>
        </w:rPr>
        <w:t>小说入手</w:t>
      </w:r>
      <w:r w:rsidR="00087674">
        <w:rPr>
          <w:rFonts w:hint="eastAsia"/>
        </w:rPr>
        <w:t>，一方面比起浩如烟海的文献</w:t>
      </w:r>
      <w:bookmarkStart w:id="0" w:name="_GoBack"/>
      <w:bookmarkEnd w:id="0"/>
      <w:r w:rsidR="00087674">
        <w:rPr>
          <w:rFonts w:hint="eastAsia"/>
        </w:rPr>
        <w:t>资料，小说更具有针对性；另一方面，不同的作家在写作时，会把自己对土改的不同看法融入到小说里，而这些区别为我们</w:t>
      </w:r>
      <w:r w:rsidR="00087674">
        <w:rPr>
          <w:rFonts w:hint="eastAsia"/>
        </w:rPr>
        <w:t>从更多的方面</w:t>
      </w:r>
      <w:r w:rsidR="00087674">
        <w:rPr>
          <w:rFonts w:hint="eastAsia"/>
        </w:rPr>
        <w:t>解读土改提供了机会，让我们能较完整的了解土改，体会它的复杂性。</w:t>
      </w:r>
    </w:p>
    <w:p w:rsidR="00BC764E" w:rsidRDefault="00BC764E" w:rsidP="00087674">
      <w:pPr>
        <w:ind w:firstLineChars="200" w:firstLine="420"/>
        <w:rPr>
          <w:rFonts w:hint="eastAsia"/>
        </w:rPr>
      </w:pPr>
    </w:p>
    <w:sectPr w:rsidR="00BC76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D6B"/>
    <w:rsid w:val="00087674"/>
    <w:rsid w:val="003254A0"/>
    <w:rsid w:val="00BC764E"/>
    <w:rsid w:val="00FD1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D9346B"/>
  <w15:chartTrackingRefBased/>
  <w15:docId w15:val="{24F94B0A-5B2A-42A2-ACBA-5BF4901A7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chengda lv</dc:creator>
  <cp:keywords/>
  <dc:description/>
  <cp:lastModifiedBy>chengda lv</cp:lastModifiedBy>
  <cp:revision>1</cp:revision>
  <dcterms:created xsi:type="dcterms:W3CDTF">2015-11-16T01:04:00Z</dcterms:created>
  <dcterms:modified xsi:type="dcterms:W3CDTF">2015-11-16T01:33:00Z</dcterms:modified>
</cp:coreProperties>
</file>